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270B5" w:rsidRPr="000270B5" w:rsidTr="000270B5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0B5" w:rsidRPr="000270B5" w:rsidRDefault="000270B5" w:rsidP="000270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КОМІ</w:t>
            </w:r>
            <w:proofErr w:type="gramStart"/>
            <w:r w:rsidRPr="0002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02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ІЯ, ЩО ЗДІЙСНЮЄ ДЕРЖАВНЕ РЕГУЛЮВАННЯ У СФЕРАХ ЕНЕРГЕТИКИ ТА КОМУНАЛЬНИХ ПОСЛУГ</w:t>
            </w:r>
          </w:p>
        </w:tc>
      </w:tr>
      <w:tr w:rsidR="000270B5" w:rsidRPr="000270B5" w:rsidTr="000270B5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0B5" w:rsidRPr="000270B5" w:rsidRDefault="000270B5" w:rsidP="000270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0270B5" w:rsidRPr="000270B5" w:rsidTr="000270B5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70B5" w:rsidRPr="000270B5" w:rsidRDefault="000270B5" w:rsidP="000270B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14.03.2018  № 310</w:t>
            </w:r>
          </w:p>
        </w:tc>
      </w:tr>
      <w:tr w:rsidR="000270B5" w:rsidRPr="000270B5" w:rsidTr="000270B5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0B5" w:rsidRPr="000270B5" w:rsidRDefault="000270B5" w:rsidP="000270B5">
            <w:pPr>
              <w:spacing w:after="0" w:line="240" w:lineRule="auto"/>
              <w:ind w:right="4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270B5" w:rsidRPr="000270B5" w:rsidRDefault="000270B5" w:rsidP="000270B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0270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0270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затвердження</w:t>
      </w:r>
      <w:proofErr w:type="spellEnd"/>
      <w:r w:rsidRPr="000270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Кодексу систем </w:t>
      </w:r>
      <w:proofErr w:type="spellStart"/>
      <w:r w:rsidRPr="000270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розподілу</w:t>
      </w:r>
      <w:proofErr w:type="spellEnd"/>
    </w:p>
    <w:p w:rsidR="000270B5" w:rsidRDefault="000270B5" w:rsidP="000270B5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270B5" w:rsidRDefault="000270B5" w:rsidP="000270B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ІХ. Мала система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розподілу</w:t>
      </w:r>
      <w:proofErr w:type="spellEnd"/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1044"/>
      <w:bookmarkEnd w:id="1"/>
      <w:r>
        <w:rPr>
          <w:rStyle w:val="rvts44"/>
          <w:b/>
          <w:bCs/>
          <w:color w:val="000000"/>
          <w:bdr w:val="none" w:sz="0" w:space="0" w:color="auto" w:frame="1"/>
        </w:rPr>
        <w:t xml:space="preserve">9.1.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Загальні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положення</w:t>
      </w:r>
      <w:bookmarkStart w:id="2" w:name="_GoBack"/>
      <w:bookmarkEnd w:id="2"/>
      <w:proofErr w:type="spellEnd"/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1045"/>
      <w:bookmarkEnd w:id="3"/>
      <w:r>
        <w:rPr>
          <w:color w:val="000000"/>
        </w:rPr>
        <w:t xml:space="preserve">9.1.1.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класифікації</w:t>
      </w:r>
      <w:proofErr w:type="spellEnd"/>
      <w:r>
        <w:rPr>
          <w:color w:val="000000"/>
        </w:rPr>
        <w:t xml:space="preserve"> МСР,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ОМСР та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ринку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>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1046"/>
      <w:bookmarkEnd w:id="4"/>
      <w:r>
        <w:rPr>
          <w:color w:val="000000"/>
        </w:rPr>
        <w:t xml:space="preserve">9.1.2. </w:t>
      </w:r>
      <w:proofErr w:type="spellStart"/>
      <w:r>
        <w:rPr>
          <w:color w:val="000000"/>
        </w:rPr>
        <w:t>Стосунки</w:t>
      </w:r>
      <w:proofErr w:type="spellEnd"/>
      <w:r>
        <w:rPr>
          <w:color w:val="000000"/>
        </w:rPr>
        <w:t xml:space="preserve"> ОМСР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Користувачами</w:t>
      </w:r>
      <w:proofErr w:type="spellEnd"/>
      <w:r>
        <w:rPr>
          <w:color w:val="000000"/>
        </w:rPr>
        <w:t xml:space="preserve"> та з мережами </w:t>
      </w:r>
      <w:proofErr w:type="spellStart"/>
      <w:r>
        <w:rPr>
          <w:color w:val="000000"/>
        </w:rPr>
        <w:t>розподільних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визначаються</w:t>
      </w:r>
      <w:proofErr w:type="spellEnd"/>
      <w:r>
        <w:rPr>
          <w:color w:val="000000"/>
        </w:rPr>
        <w:t xml:space="preserve"> Правилами </w:t>
      </w:r>
      <w:proofErr w:type="spellStart"/>
      <w:r>
        <w:rPr>
          <w:color w:val="000000"/>
        </w:rPr>
        <w:t>роздрібного</w:t>
      </w:r>
      <w:proofErr w:type="spellEnd"/>
      <w:r>
        <w:rPr>
          <w:color w:val="000000"/>
        </w:rPr>
        <w:t xml:space="preserve"> ринку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НКРЕКП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2018 року № 312 (</w:t>
      </w:r>
      <w:proofErr w:type="spellStart"/>
      <w:r>
        <w:rPr>
          <w:color w:val="000000"/>
        </w:rPr>
        <w:t>далі</w:t>
      </w:r>
      <w:proofErr w:type="spellEnd"/>
      <w:r>
        <w:rPr>
          <w:color w:val="000000"/>
        </w:rPr>
        <w:t xml:space="preserve"> - Правила </w:t>
      </w:r>
      <w:proofErr w:type="spellStart"/>
      <w:r>
        <w:rPr>
          <w:color w:val="000000"/>
        </w:rPr>
        <w:t>роздрібного</w:t>
      </w:r>
      <w:proofErr w:type="spellEnd"/>
      <w:r>
        <w:rPr>
          <w:color w:val="000000"/>
        </w:rPr>
        <w:t xml:space="preserve"> ринку).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1047"/>
      <w:bookmarkEnd w:id="5"/>
      <w:r>
        <w:rPr>
          <w:color w:val="000000"/>
        </w:rPr>
        <w:t xml:space="preserve">9.1.3. ОМСР </w:t>
      </w:r>
      <w:proofErr w:type="spellStart"/>
      <w:r>
        <w:rPr>
          <w:color w:val="000000"/>
        </w:rPr>
        <w:t>виконує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права та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ОСР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МСР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 та Правилами </w:t>
      </w:r>
      <w:proofErr w:type="spellStart"/>
      <w:r>
        <w:rPr>
          <w:color w:val="000000"/>
        </w:rPr>
        <w:t>роздрібного</w:t>
      </w:r>
      <w:proofErr w:type="spellEnd"/>
      <w:r>
        <w:rPr>
          <w:color w:val="000000"/>
        </w:rPr>
        <w:t xml:space="preserve"> ринку,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ліцензій</w:t>
      </w:r>
      <w:proofErr w:type="spellEnd"/>
      <w:r>
        <w:rPr>
          <w:color w:val="000000"/>
        </w:rPr>
        <w:t>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1048"/>
      <w:bookmarkEnd w:id="6"/>
      <w:r>
        <w:rPr>
          <w:color w:val="000000"/>
        </w:rPr>
        <w:t xml:space="preserve">9.1.4.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ОМСР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власники</w:t>
      </w:r>
      <w:proofErr w:type="spellEnd"/>
      <w:r>
        <w:rPr>
          <w:color w:val="000000"/>
        </w:rPr>
        <w:t xml:space="preserve"> МСР, </w:t>
      </w:r>
      <w:proofErr w:type="spellStart"/>
      <w:r>
        <w:rPr>
          <w:color w:val="000000"/>
        </w:rPr>
        <w:t>юридичні</w:t>
      </w:r>
      <w:proofErr w:type="spellEnd"/>
      <w:r>
        <w:rPr>
          <w:color w:val="000000"/>
        </w:rPr>
        <w:t xml:space="preserve"> особи, </w:t>
      </w:r>
      <w:proofErr w:type="spellStart"/>
      <w:proofErr w:type="gramStart"/>
      <w:r>
        <w:rPr>
          <w:color w:val="000000"/>
        </w:rPr>
        <w:t>створен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власниками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співвласниками</w:t>
      </w:r>
      <w:proofErr w:type="spellEnd"/>
      <w:r>
        <w:rPr>
          <w:color w:val="000000"/>
        </w:rPr>
        <w:t xml:space="preserve"> МСР,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юридичні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договірних</w:t>
      </w:r>
      <w:proofErr w:type="spellEnd"/>
      <w:r>
        <w:rPr>
          <w:color w:val="000000"/>
        </w:rPr>
        <w:t xml:space="preserve"> засадах.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1049"/>
      <w:bookmarkEnd w:id="7"/>
      <w:r>
        <w:rPr>
          <w:rStyle w:val="rvts44"/>
          <w:b/>
          <w:bCs/>
          <w:color w:val="000000"/>
          <w:bdr w:val="none" w:sz="0" w:space="0" w:color="auto" w:frame="1"/>
        </w:rPr>
        <w:t xml:space="preserve">9.2.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Критерії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та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класифікація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МСР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1050"/>
      <w:bookmarkEnd w:id="8"/>
      <w:r>
        <w:rPr>
          <w:color w:val="000000"/>
        </w:rPr>
        <w:t xml:space="preserve">9.2.1. </w:t>
      </w:r>
      <w:proofErr w:type="spellStart"/>
      <w:r>
        <w:rPr>
          <w:color w:val="000000"/>
        </w:rPr>
        <w:t>Електричні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як МСР,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>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1051"/>
      <w:bookmarkEnd w:id="9"/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, створена в </w:t>
      </w:r>
      <w:proofErr w:type="spellStart"/>
      <w:r>
        <w:rPr>
          <w:color w:val="000000"/>
        </w:rPr>
        <w:t>єдиному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черги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), яка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розташована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комплексу;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1052"/>
      <w:bookmarkEnd w:id="10"/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, яка створена на правах </w:t>
      </w:r>
      <w:proofErr w:type="spellStart"/>
      <w:r>
        <w:rPr>
          <w:color w:val="000000"/>
        </w:rPr>
        <w:t>спільної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використовується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співвласниками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потреб (</w:t>
      </w:r>
      <w:proofErr w:type="spellStart"/>
      <w:r>
        <w:rPr>
          <w:color w:val="000000"/>
        </w:rPr>
        <w:t>садові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гаражні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кооперативи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котеджні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містечка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відповідним</w:t>
      </w:r>
      <w:proofErr w:type="spellEnd"/>
      <w:r>
        <w:rPr>
          <w:color w:val="000000"/>
        </w:rPr>
        <w:t xml:space="preserve"> статутом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об’єднань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1053"/>
      <w:bookmarkEnd w:id="11"/>
      <w:r>
        <w:rPr>
          <w:color w:val="000000"/>
        </w:rPr>
        <w:t xml:space="preserve">система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, мережами </w:t>
      </w:r>
      <w:proofErr w:type="spellStart"/>
      <w:r>
        <w:rPr>
          <w:color w:val="000000"/>
        </w:rPr>
        <w:t>якої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переважно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мереж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пов’язаних</w:t>
      </w:r>
      <w:proofErr w:type="spellEnd"/>
      <w:r>
        <w:rPr>
          <w:color w:val="000000"/>
        </w:rPr>
        <w:t xml:space="preserve"> з ним </w:t>
      </w:r>
      <w:proofErr w:type="spellStart"/>
      <w:r>
        <w:rPr>
          <w:color w:val="000000"/>
        </w:rPr>
        <w:t>господарськими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відносинами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відносинами</w:t>
      </w:r>
      <w:proofErr w:type="spellEnd"/>
      <w:r>
        <w:rPr>
          <w:color w:val="000000"/>
        </w:rPr>
        <w:t xml:space="preserve"> контролю;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1054"/>
      <w:bookmarkEnd w:id="12"/>
      <w:proofErr w:type="spellStart"/>
      <w:r>
        <w:rPr>
          <w:color w:val="000000"/>
        </w:rPr>
        <w:t>електричні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комерційного</w:t>
      </w:r>
      <w:proofErr w:type="spellEnd"/>
      <w:r>
        <w:rPr>
          <w:color w:val="000000"/>
        </w:rPr>
        <w:t xml:space="preserve"> закладу (</w:t>
      </w:r>
      <w:proofErr w:type="spellStart"/>
      <w:r>
        <w:rPr>
          <w:color w:val="000000"/>
        </w:rPr>
        <w:t>офісні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торговельно-розважальні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пов’язаним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між</w:t>
      </w:r>
      <w:proofErr w:type="spellEnd"/>
      <w:proofErr w:type="gramEnd"/>
      <w:r>
        <w:rPr>
          <w:color w:val="000000"/>
        </w:rPr>
        <w:t xml:space="preserve"> собою </w:t>
      </w:r>
      <w:proofErr w:type="spellStart"/>
      <w:r>
        <w:rPr>
          <w:color w:val="000000"/>
        </w:rPr>
        <w:t>господарськими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відносинами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відносинами</w:t>
      </w:r>
      <w:proofErr w:type="spellEnd"/>
      <w:r>
        <w:rPr>
          <w:color w:val="000000"/>
        </w:rPr>
        <w:t xml:space="preserve"> контролю;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1055"/>
      <w:bookmarkEnd w:id="13"/>
      <w:proofErr w:type="spellStart"/>
      <w:r>
        <w:rPr>
          <w:color w:val="000000"/>
        </w:rPr>
        <w:t>електричні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виробничі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пов’язан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собою з </w:t>
      </w:r>
      <w:proofErr w:type="spellStart"/>
      <w:r>
        <w:rPr>
          <w:color w:val="000000"/>
        </w:rPr>
        <w:t>технологічних</w:t>
      </w:r>
      <w:proofErr w:type="spellEnd"/>
      <w:r>
        <w:rPr>
          <w:color w:val="000000"/>
        </w:rPr>
        <w:t xml:space="preserve"> причин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міркувань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1056"/>
      <w:bookmarkEnd w:id="14"/>
      <w:proofErr w:type="spellStart"/>
      <w:r>
        <w:rPr>
          <w:color w:val="000000"/>
        </w:rPr>
        <w:t>електричні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розподіляють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громадського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(спортивно-</w:t>
      </w:r>
      <w:proofErr w:type="spellStart"/>
      <w:r>
        <w:rPr>
          <w:color w:val="000000"/>
        </w:rPr>
        <w:t>оздоровчі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комплекси</w:t>
      </w:r>
      <w:proofErr w:type="spellEnd"/>
      <w:r>
        <w:rPr>
          <w:color w:val="000000"/>
        </w:rPr>
        <w:t>, санаторно-</w:t>
      </w:r>
      <w:proofErr w:type="spellStart"/>
      <w:r>
        <w:rPr>
          <w:color w:val="000000"/>
        </w:rPr>
        <w:t>курортні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).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1057"/>
      <w:bookmarkEnd w:id="15"/>
      <w:r>
        <w:rPr>
          <w:color w:val="000000"/>
        </w:rPr>
        <w:t xml:space="preserve">9.2.2.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мережа </w:t>
      </w:r>
      <w:proofErr w:type="spellStart"/>
      <w:r>
        <w:rPr>
          <w:color w:val="000000"/>
        </w:rPr>
        <w:t>класифікується</w:t>
      </w:r>
      <w:proofErr w:type="spellEnd"/>
      <w:r>
        <w:rPr>
          <w:color w:val="000000"/>
        </w:rPr>
        <w:t xml:space="preserve"> як МСР,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вона </w:t>
      </w:r>
      <w:proofErr w:type="spellStart"/>
      <w:r>
        <w:rPr>
          <w:color w:val="000000"/>
        </w:rPr>
        <w:t>одночасно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за величинами: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1058"/>
      <w:bookmarkEnd w:id="16"/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приєднаних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точок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юридичних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фізичних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) до МСР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2;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1059"/>
      <w:bookmarkEnd w:id="17"/>
      <w:proofErr w:type="spellStart"/>
      <w:r>
        <w:rPr>
          <w:color w:val="000000"/>
        </w:rPr>
        <w:t>приєднана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потужність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50 кВт;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1060"/>
      <w:bookmarkEnd w:id="18"/>
      <w:proofErr w:type="spellStart"/>
      <w:r>
        <w:rPr>
          <w:color w:val="000000"/>
        </w:rPr>
        <w:t>середньомісячний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5 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Вт·год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1061"/>
      <w:bookmarkEnd w:id="19"/>
      <w:proofErr w:type="spellStart"/>
      <w:r>
        <w:rPr>
          <w:color w:val="000000"/>
        </w:rPr>
        <w:lastRenderedPageBreak/>
        <w:t>розподіл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менше</w:t>
      </w:r>
      <w:proofErr w:type="spellEnd"/>
      <w:r>
        <w:rPr>
          <w:color w:val="000000"/>
        </w:rPr>
        <w:t xml:space="preserve"> 10000 </w:t>
      </w:r>
      <w:proofErr w:type="spellStart"/>
      <w:r>
        <w:rPr>
          <w:color w:val="000000"/>
        </w:rPr>
        <w:t>побутових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пов’язані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власниками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договірними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ідставах</w:t>
      </w:r>
      <w:proofErr w:type="spellEnd"/>
      <w:r>
        <w:rPr>
          <w:color w:val="000000"/>
        </w:rPr>
        <w:t>,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система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спільній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побутових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>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1062"/>
      <w:bookmarkEnd w:id="20"/>
      <w:r>
        <w:rPr>
          <w:color w:val="000000"/>
        </w:rPr>
        <w:t xml:space="preserve">9.2.3. МСР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забезпечена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приладами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комерційного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та кожного </w:t>
      </w:r>
      <w:proofErr w:type="spellStart"/>
      <w:r>
        <w:rPr>
          <w:color w:val="000000"/>
        </w:rPr>
        <w:t>Користувача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Кодексу </w:t>
      </w:r>
      <w:proofErr w:type="spellStart"/>
      <w:r>
        <w:rPr>
          <w:color w:val="000000"/>
        </w:rPr>
        <w:t>комерційного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>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1063"/>
      <w:bookmarkEnd w:id="21"/>
      <w:r>
        <w:rPr>
          <w:rStyle w:val="rvts44"/>
          <w:b/>
          <w:bCs/>
          <w:color w:val="000000"/>
          <w:bdr w:val="none" w:sz="0" w:space="0" w:color="auto" w:frame="1"/>
        </w:rPr>
        <w:t xml:space="preserve">9.3. Порядок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набуття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статусу МСР та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відповідальність</w:t>
      </w:r>
      <w:proofErr w:type="spellEnd"/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1064"/>
      <w:bookmarkEnd w:id="22"/>
      <w:r>
        <w:rPr>
          <w:color w:val="000000"/>
        </w:rPr>
        <w:t xml:space="preserve">9.3.1.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</w:t>
      </w:r>
      <w:proofErr w:type="spellEnd"/>
      <w:r>
        <w:rPr>
          <w:color w:val="000000"/>
        </w:rPr>
        <w:t xml:space="preserve"> ОМСР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Регулятор.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1065"/>
      <w:bookmarkEnd w:id="23"/>
      <w:r>
        <w:rPr>
          <w:color w:val="000000"/>
        </w:rPr>
        <w:t xml:space="preserve">9.3.2. Для </w:t>
      </w:r>
      <w:proofErr w:type="spellStart"/>
      <w:r>
        <w:rPr>
          <w:color w:val="000000"/>
        </w:rPr>
        <w:t>набуття</w:t>
      </w:r>
      <w:proofErr w:type="spellEnd"/>
      <w:r>
        <w:rPr>
          <w:color w:val="000000"/>
        </w:rPr>
        <w:t xml:space="preserve"> статусу МСР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критеріям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класифікації</w:t>
      </w:r>
      <w:proofErr w:type="spellEnd"/>
      <w:r>
        <w:rPr>
          <w:color w:val="000000"/>
        </w:rPr>
        <w:t xml:space="preserve"> МСР, повинен </w:t>
      </w:r>
      <w:proofErr w:type="spellStart"/>
      <w:r>
        <w:rPr>
          <w:color w:val="000000"/>
        </w:rPr>
        <w:t>зареєструватись</w:t>
      </w:r>
      <w:proofErr w:type="spellEnd"/>
      <w:r>
        <w:rPr>
          <w:color w:val="000000"/>
        </w:rPr>
        <w:t xml:space="preserve"> у порядку,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1066"/>
      <w:bookmarkEnd w:id="24"/>
      <w:r>
        <w:rPr>
          <w:color w:val="000000"/>
        </w:rPr>
        <w:t xml:space="preserve">9.3.3. Для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статусу МСР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повинен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Регулятору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>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1067"/>
      <w:bookmarkEnd w:id="25"/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, яка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визначення</w:t>
      </w:r>
      <w:proofErr w:type="spellEnd"/>
      <w:r>
        <w:rPr>
          <w:color w:val="000000"/>
        </w:rPr>
        <w:t xml:space="preserve"> як МСР, до Регулятора для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МСР;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1068"/>
      <w:bookmarkEnd w:id="26"/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ідтверджують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електричну</w:t>
      </w:r>
      <w:proofErr w:type="spellEnd"/>
      <w:r>
        <w:rPr>
          <w:color w:val="000000"/>
        </w:rPr>
        <w:t xml:space="preserve"> мережу;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1069"/>
      <w:bookmarkEnd w:id="27"/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укладеного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між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власником</w:t>
      </w:r>
      <w:proofErr w:type="spellEnd"/>
      <w:r>
        <w:rPr>
          <w:color w:val="000000"/>
        </w:rPr>
        <w:t xml:space="preserve"> та ОСР (ОСП);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1070"/>
      <w:bookmarkEnd w:id="28"/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ОСР (ОСП)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приєднаної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потужності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середньомісячного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кВт•год</w:t>
      </w:r>
      <w:proofErr w:type="spellEnd"/>
      <w:r>
        <w:rPr>
          <w:color w:val="000000"/>
        </w:rPr>
        <w:t>);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1071"/>
      <w:bookmarkEnd w:id="29"/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визначенню</w:t>
      </w:r>
      <w:proofErr w:type="spellEnd"/>
      <w:r>
        <w:rPr>
          <w:color w:val="000000"/>
        </w:rPr>
        <w:t xml:space="preserve"> МСР (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точок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приєднання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потужності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приєднання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МСР).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1072"/>
      <w:bookmarkEnd w:id="30"/>
      <w:r>
        <w:rPr>
          <w:color w:val="000000"/>
        </w:rPr>
        <w:t xml:space="preserve">9.3.4. Регулятор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визначених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</w:t>
      </w:r>
      <w:proofErr w:type="spellEnd"/>
      <w:r>
        <w:rPr>
          <w:color w:val="000000"/>
        </w:rPr>
        <w:t xml:space="preserve"> 9.3.3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глави</w:t>
      </w:r>
      <w:proofErr w:type="spellEnd"/>
      <w:r>
        <w:rPr>
          <w:color w:val="000000"/>
        </w:rPr>
        <w:t xml:space="preserve">, вносить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мережу до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МСР, </w:t>
      </w:r>
      <w:proofErr w:type="spellStart"/>
      <w:r>
        <w:rPr>
          <w:color w:val="000000"/>
        </w:rPr>
        <w:t>оприлюдненого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власному</w:t>
      </w:r>
      <w:proofErr w:type="spellEnd"/>
      <w:r>
        <w:rPr>
          <w:color w:val="000000"/>
        </w:rPr>
        <w:t xml:space="preserve"> веб-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обґрунтовану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відмову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внесенні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>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1073"/>
      <w:bookmarkEnd w:id="31"/>
      <w:r>
        <w:rPr>
          <w:color w:val="000000"/>
        </w:rPr>
        <w:t xml:space="preserve">9.3.5. </w:t>
      </w:r>
      <w:proofErr w:type="spellStart"/>
      <w:r>
        <w:rPr>
          <w:color w:val="000000"/>
        </w:rPr>
        <w:t>Власники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електричних</w:t>
      </w:r>
      <w:proofErr w:type="spellEnd"/>
      <w:r>
        <w:rPr>
          <w:color w:val="000000"/>
        </w:rPr>
        <w:t xml:space="preserve"> мереж,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набули</w:t>
      </w:r>
      <w:proofErr w:type="spellEnd"/>
      <w:r>
        <w:rPr>
          <w:color w:val="000000"/>
        </w:rPr>
        <w:t xml:space="preserve"> статусу МСР (</w:t>
      </w:r>
      <w:proofErr w:type="spellStart"/>
      <w:r>
        <w:rPr>
          <w:color w:val="000000"/>
        </w:rPr>
        <w:t>юридичні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створені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власниками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співвласниками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юридичні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договірних</w:t>
      </w:r>
      <w:proofErr w:type="spellEnd"/>
      <w:r>
        <w:rPr>
          <w:color w:val="000000"/>
        </w:rPr>
        <w:t xml:space="preserve"> засадах, </w:t>
      </w:r>
      <w:proofErr w:type="spellStart"/>
      <w:r>
        <w:rPr>
          <w:color w:val="000000"/>
        </w:rPr>
        <w:t>стають</w:t>
      </w:r>
      <w:proofErr w:type="spellEnd"/>
      <w:r>
        <w:rPr>
          <w:color w:val="000000"/>
        </w:rPr>
        <w:t xml:space="preserve"> ОМСР.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1074"/>
      <w:bookmarkEnd w:id="32"/>
      <w:r>
        <w:rPr>
          <w:rStyle w:val="rvts44"/>
          <w:b/>
          <w:bCs/>
          <w:color w:val="000000"/>
          <w:bdr w:val="none" w:sz="0" w:space="0" w:color="auto" w:frame="1"/>
        </w:rPr>
        <w:t xml:space="preserve">9.4.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Обов’язки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, права та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функції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ОМСР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щодо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Користувачів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такої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МСР та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їх</w:t>
      </w:r>
      <w:proofErr w:type="spellEnd"/>
      <w:r>
        <w:rPr>
          <w:rStyle w:val="rvts44"/>
          <w:b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4"/>
          <w:b/>
          <w:bCs/>
          <w:color w:val="000000"/>
          <w:bdr w:val="none" w:sz="0" w:space="0" w:color="auto" w:frame="1"/>
        </w:rPr>
        <w:t>особливості</w:t>
      </w:r>
      <w:proofErr w:type="spellEnd"/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3" w:name="n1075"/>
      <w:bookmarkEnd w:id="33"/>
      <w:r>
        <w:rPr>
          <w:color w:val="000000"/>
        </w:rPr>
        <w:t xml:space="preserve">9.4.1. </w:t>
      </w:r>
      <w:proofErr w:type="spellStart"/>
      <w:r>
        <w:rPr>
          <w:color w:val="000000"/>
        </w:rPr>
        <w:t>Обов’язки</w:t>
      </w:r>
      <w:proofErr w:type="spellEnd"/>
      <w:r>
        <w:rPr>
          <w:color w:val="000000"/>
        </w:rPr>
        <w:t xml:space="preserve"> ОМСР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визначаються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>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4" w:name="n1076"/>
      <w:bookmarkEnd w:id="34"/>
      <w:r>
        <w:rPr>
          <w:color w:val="000000"/>
        </w:rPr>
        <w:t xml:space="preserve">ОМСР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неякісних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5" w:name="n1077"/>
      <w:bookmarkEnd w:id="35"/>
      <w:r>
        <w:rPr>
          <w:color w:val="000000"/>
        </w:rPr>
        <w:t xml:space="preserve">ОМСР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доступ будь-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МСР.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6" w:name="n1078"/>
      <w:bookmarkEnd w:id="36"/>
      <w:r>
        <w:rPr>
          <w:color w:val="000000"/>
        </w:rPr>
        <w:t xml:space="preserve">9.4.2. Права ОМСР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>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7" w:name="n1079"/>
      <w:bookmarkEnd w:id="37"/>
      <w:r>
        <w:rPr>
          <w:color w:val="000000"/>
        </w:rPr>
        <w:t xml:space="preserve">ОМСР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на плату за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1080"/>
      <w:bookmarkEnd w:id="38"/>
      <w:r>
        <w:rPr>
          <w:color w:val="000000"/>
        </w:rPr>
        <w:t xml:space="preserve">оплату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розподілу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</w:t>
      </w:r>
      <w:proofErr w:type="spellEnd"/>
      <w:r>
        <w:rPr>
          <w:color w:val="000000"/>
        </w:rPr>
        <w:t xml:space="preserve"> МСР.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1081"/>
      <w:bookmarkEnd w:id="39"/>
      <w:r>
        <w:rPr>
          <w:color w:val="000000"/>
        </w:rPr>
        <w:t xml:space="preserve">9.4.3.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ОМСР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МСР </w:t>
      </w:r>
      <w:proofErr w:type="spellStart"/>
      <w:r>
        <w:rPr>
          <w:color w:val="000000"/>
        </w:rPr>
        <w:t>визначені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особливостей</w:t>
      </w:r>
      <w:proofErr w:type="spellEnd"/>
      <w:r>
        <w:rPr>
          <w:color w:val="000000"/>
        </w:rPr>
        <w:t>: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1082"/>
      <w:bookmarkEnd w:id="40"/>
      <w:r>
        <w:rPr>
          <w:color w:val="000000"/>
        </w:rPr>
        <w:t xml:space="preserve">ОМСР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</w:t>
      </w:r>
      <w:proofErr w:type="spellEnd"/>
      <w:r>
        <w:rPr>
          <w:color w:val="000000"/>
        </w:rPr>
        <w:t xml:space="preserve"> (не </w:t>
      </w:r>
      <w:proofErr w:type="spellStart"/>
      <w:r>
        <w:rPr>
          <w:color w:val="000000"/>
        </w:rPr>
        <w:t>обмежуючи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постачальників</w:t>
      </w:r>
      <w:proofErr w:type="spellEnd"/>
      <w:r>
        <w:rPr>
          <w:color w:val="000000"/>
        </w:rPr>
        <w:t xml:space="preserve">)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ліцензії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1083"/>
      <w:bookmarkEnd w:id="41"/>
      <w:r>
        <w:rPr>
          <w:color w:val="000000"/>
        </w:rPr>
        <w:t xml:space="preserve">ОМСР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постачальника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комерційного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Користувачам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комерційного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>;</w:t>
      </w:r>
    </w:p>
    <w:p w:rsidR="000270B5" w:rsidRDefault="000270B5" w:rsidP="000270B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1084"/>
      <w:bookmarkEnd w:id="42"/>
      <w:r>
        <w:rPr>
          <w:color w:val="000000"/>
        </w:rPr>
        <w:t xml:space="preserve">ОМСР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здійснювати</w:t>
      </w:r>
      <w:proofErr w:type="spellEnd"/>
      <w:r>
        <w:rPr>
          <w:color w:val="000000"/>
        </w:rPr>
        <w:t xml:space="preserve"> транзит </w:t>
      </w:r>
      <w:proofErr w:type="spellStart"/>
      <w:r>
        <w:rPr>
          <w:color w:val="000000"/>
        </w:rPr>
        <w:t>електричної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своїми</w:t>
      </w:r>
      <w:proofErr w:type="spellEnd"/>
      <w:r>
        <w:rPr>
          <w:color w:val="000000"/>
        </w:rPr>
        <w:t xml:space="preserve"> мережами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межі</w:t>
      </w:r>
      <w:proofErr w:type="spellEnd"/>
      <w:r>
        <w:rPr>
          <w:color w:val="000000"/>
        </w:rPr>
        <w:t xml:space="preserve"> МСР.</w:t>
      </w:r>
    </w:p>
    <w:p w:rsidR="005F6C88" w:rsidRDefault="005F6C88"/>
    <w:sectPr w:rsidR="005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5"/>
    <w:rsid w:val="000270B5"/>
    <w:rsid w:val="005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70B5"/>
  </w:style>
  <w:style w:type="paragraph" w:customStyle="1" w:styleId="rvps2">
    <w:name w:val="rvps2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270B5"/>
  </w:style>
  <w:style w:type="paragraph" w:customStyle="1" w:styleId="rvps1">
    <w:name w:val="rvps1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70B5"/>
  </w:style>
  <w:style w:type="character" w:customStyle="1" w:styleId="rvts9">
    <w:name w:val="rvts9"/>
    <w:basedOn w:val="a0"/>
    <w:rsid w:val="000270B5"/>
  </w:style>
  <w:style w:type="paragraph" w:customStyle="1" w:styleId="rvps6">
    <w:name w:val="rvps6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70B5"/>
  </w:style>
  <w:style w:type="paragraph" w:customStyle="1" w:styleId="rvps2">
    <w:name w:val="rvps2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270B5"/>
  </w:style>
  <w:style w:type="paragraph" w:customStyle="1" w:styleId="rvps1">
    <w:name w:val="rvps1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270B5"/>
  </w:style>
  <w:style w:type="character" w:customStyle="1" w:styleId="rvts9">
    <w:name w:val="rvts9"/>
    <w:basedOn w:val="a0"/>
    <w:rsid w:val="000270B5"/>
  </w:style>
  <w:style w:type="paragraph" w:customStyle="1" w:styleId="rvps6">
    <w:name w:val="rvps6"/>
    <w:basedOn w:val="a"/>
    <w:rsid w:val="0002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2018-06-14T05:04:00Z</dcterms:created>
  <dcterms:modified xsi:type="dcterms:W3CDTF">2018-06-14T05:06:00Z</dcterms:modified>
</cp:coreProperties>
</file>